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F" w:rsidRDefault="005F166F">
      <w:r>
        <w:rPr>
          <w:noProof/>
          <w:lang w:val="cs-CZ" w:eastAsia="cs-CZ"/>
        </w:rPr>
        <w:pict>
          <v:line id="_x0000_s1026" style="position:absolute;z-index:251658240" from="-10.45pt,136.55pt" to="-10.45pt,647.45pt" strokecolor="#1c5d69" strokeweight=".9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75"/>
        <w:gridCol w:w="1667"/>
        <w:gridCol w:w="4838"/>
      </w:tblGrid>
      <w:tr w:rsidR="005F166F" w:rsidRPr="00E718FC">
        <w:trPr>
          <w:trHeight w:hRule="exact" w:val="956"/>
        </w:trPr>
        <w:tc>
          <w:tcPr>
            <w:tcW w:w="26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4" w:space="0" w:color="18828C"/>
            </w:tcBorders>
          </w:tcPr>
          <w:p w:rsidR="005F166F" w:rsidRPr="00E718FC" w:rsidRDefault="005F166F">
            <w:pPr>
              <w:spacing w:before="72"/>
              <w:ind w:left="518" w:right="400"/>
            </w:pPr>
            <w:r w:rsidRPr="00E718FC">
              <w:rPr>
                <w:noProof/>
                <w:lang w:val="cs-CZ"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" o:spid="_x0000_i1025" type="#_x0000_t75" style="width:61.5pt;height:43.5pt;visibility:visible">
                  <v:imagedata r:id="rId4" o:title=""/>
                </v:shape>
              </w:pict>
            </w:r>
          </w:p>
        </w:tc>
        <w:tc>
          <w:tcPr>
            <w:tcW w:w="6505" w:type="dxa"/>
            <w:gridSpan w:val="2"/>
            <w:vMerge w:val="restart"/>
            <w:tcBorders>
              <w:top w:val="none" w:sz="0" w:space="0" w:color="000000"/>
              <w:left w:val="single" w:sz="24" w:space="0" w:color="18828C"/>
              <w:bottom w:val="none" w:sz="0" w:space="0" w:color="000000"/>
              <w:right w:val="none" w:sz="0" w:space="0" w:color="000000"/>
            </w:tcBorders>
            <w:vAlign w:val="bottom"/>
          </w:tcPr>
          <w:p w:rsidR="005F166F" w:rsidRPr="00E718FC" w:rsidRDefault="005F166F">
            <w:pPr>
              <w:spacing w:before="288" w:line="219" w:lineRule="exact"/>
              <w:ind w:left="241"/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2"/>
                <w:sz w:val="17"/>
                <w:lang w:val="cs-CZ"/>
              </w:rPr>
              <w:t>Odbor legislativy</w:t>
            </w:r>
          </w:p>
          <w:p w:rsidR="005F166F" w:rsidRPr="00E718FC" w:rsidRDefault="005F166F">
            <w:pPr>
              <w:spacing w:line="214" w:lineRule="exact"/>
              <w:ind w:left="241" w:right="2628"/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  <w:t xml:space="preserve">Ministerstvo školství, mládeže a tělovýchovy </w:t>
            </w:r>
            <w:r w:rsidRPr="00E718FC"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  <w:t>Karmelitská 7</w:t>
            </w:r>
          </w:p>
          <w:p w:rsidR="005F166F" w:rsidRPr="00E718FC" w:rsidRDefault="005F166F">
            <w:pPr>
              <w:spacing w:before="72" w:line="169" w:lineRule="exact"/>
              <w:ind w:left="241"/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  <w:t>118 12 Praha 1</w:t>
            </w:r>
          </w:p>
        </w:tc>
      </w:tr>
      <w:tr w:rsidR="005F166F" w:rsidRPr="00E718FC">
        <w:trPr>
          <w:trHeight w:hRule="exact" w:val="262"/>
        </w:trPr>
        <w:tc>
          <w:tcPr>
            <w:tcW w:w="2675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>
            <w:pPr>
              <w:tabs>
                <w:tab w:val="right" w:pos="2164"/>
              </w:tabs>
              <w:spacing w:line="152" w:lineRule="exact"/>
              <w:ind w:left="324" w:right="432" w:firstLine="252"/>
              <w:rPr>
                <w:rFonts w:ascii="Arial" w:hAnsi="Arial"/>
                <w:color w:val="000000"/>
                <w:spacing w:val="46"/>
                <w:sz w:val="13"/>
                <w:lang w:val="cs-CZ"/>
              </w:rPr>
            </w:pPr>
            <w:r w:rsidRPr="00E718FC">
              <w:rPr>
                <w:rFonts w:ascii="Arial" w:hAnsi="Arial"/>
                <w:color w:val="000000"/>
                <w:spacing w:val="46"/>
                <w:sz w:val="13"/>
                <w:lang w:val="cs-CZ"/>
              </w:rPr>
              <w:t>ERS1 VO JLST</w:t>
            </w:r>
            <w:r w:rsidRPr="00E718FC">
              <w:rPr>
                <w:rFonts w:ascii="Times New Roman" w:hAnsi="Times New Roman"/>
                <w:color w:val="000000"/>
                <w:spacing w:val="46"/>
                <w:sz w:val="14"/>
                <w:lang w:val="cs-CZ"/>
              </w:rPr>
              <w:t xml:space="preserve">V </w:t>
            </w:r>
            <w:r w:rsidRPr="00E718FC">
              <w:rPr>
                <w:rFonts w:ascii="Arial" w:hAnsi="Arial"/>
                <w:color w:val="000000"/>
                <w:sz w:val="13"/>
                <w:lang w:val="cs-CZ"/>
              </w:rPr>
              <w:t>ADLZE</w:t>
            </w:r>
            <w:r w:rsidRPr="00E718FC">
              <w:rPr>
                <w:rFonts w:ascii="Arial" w:hAnsi="Arial"/>
                <w:color w:val="000000"/>
                <w:sz w:val="13"/>
                <w:lang w:val="cs-CZ"/>
              </w:rPr>
              <w:tab/>
            </w:r>
            <w:r w:rsidRPr="00E718FC">
              <w:rPr>
                <w:rFonts w:ascii="Arial" w:hAnsi="Arial"/>
                <w:color w:val="000000"/>
                <w:spacing w:val="4"/>
                <w:sz w:val="13"/>
                <w:lang w:val="cs-CZ"/>
              </w:rPr>
              <w:t>!ELC.)</w:t>
            </w:r>
            <w:r w:rsidRPr="00E718FC">
              <w:rPr>
                <w:rFonts w:ascii="Arial" w:hAnsi="Arial"/>
                <w:color w:val="000000"/>
                <w:spacing w:val="4"/>
                <w:sz w:val="13"/>
                <w:vertAlign w:val="superscript"/>
                <w:lang w:val="cs-CZ"/>
              </w:rPr>
              <w:t>,</w:t>
            </w:r>
            <w:r w:rsidRPr="00E718FC">
              <w:rPr>
                <w:rFonts w:ascii="Arial" w:hAnsi="Arial"/>
                <w:color w:val="000000"/>
                <w:spacing w:val="4"/>
                <w:sz w:val="13"/>
                <w:lang w:val="cs-CZ"/>
              </w:rPr>
              <w:t>.'YCHOV'.</w:t>
            </w:r>
          </w:p>
          <w:p w:rsidR="005F166F" w:rsidRPr="00E718FC" w:rsidRDefault="005F166F">
            <w:pPr>
              <w:spacing w:before="864" w:line="219" w:lineRule="exact"/>
              <w:ind w:left="61"/>
              <w:rPr>
                <w:rFonts w:ascii="Tahoma" w:hAnsi="Tahoma"/>
                <w:b/>
                <w:color w:val="000000"/>
                <w:spacing w:val="-2"/>
                <w:sz w:val="17"/>
                <w:lang w:val="cs-CZ"/>
              </w:rPr>
            </w:pPr>
            <w:r w:rsidRPr="00E718FC">
              <w:rPr>
                <w:rFonts w:ascii="Tahoma" w:hAnsi="Tahoma"/>
                <w:b/>
                <w:color w:val="000000"/>
                <w:spacing w:val="-2"/>
                <w:sz w:val="17"/>
                <w:lang w:val="cs-CZ"/>
              </w:rPr>
              <w:t>Váš dopis ze dne / značky</w:t>
            </w:r>
          </w:p>
          <w:p w:rsidR="005F166F" w:rsidRPr="00E718FC" w:rsidRDefault="005F166F">
            <w:pPr>
              <w:spacing w:line="212" w:lineRule="exact"/>
              <w:ind w:left="61"/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  <w:t>6. 5. 2014 / 5668/SM/2014</w:t>
            </w:r>
          </w:p>
          <w:p w:rsidR="005F166F" w:rsidRPr="00E718FC" w:rsidRDefault="005F166F">
            <w:pPr>
              <w:spacing w:before="72" w:line="235" w:lineRule="exact"/>
              <w:ind w:left="61" w:right="864"/>
              <w:rPr>
                <w:rFonts w:ascii="Tahoma" w:hAnsi="Tahoma"/>
                <w:b/>
                <w:color w:val="000000"/>
                <w:spacing w:val="2"/>
                <w:sz w:val="17"/>
                <w:lang w:val="cs-CZ"/>
              </w:rPr>
            </w:pPr>
            <w:r w:rsidRPr="00E718FC">
              <w:rPr>
                <w:rFonts w:ascii="Tahoma" w:hAnsi="Tahoma"/>
                <w:b/>
                <w:color w:val="000000"/>
                <w:spacing w:val="2"/>
                <w:sz w:val="17"/>
                <w:lang w:val="cs-CZ"/>
              </w:rPr>
              <w:t xml:space="preserve">Číslo jednací </w:t>
            </w:r>
            <w:r w:rsidRPr="00E718FC">
              <w:rPr>
                <w:rFonts w:ascii="Tahoma" w:hAnsi="Tahoma"/>
                <w:b/>
                <w:color w:val="000000"/>
                <w:spacing w:val="-10"/>
                <w:sz w:val="17"/>
                <w:lang w:val="cs-CZ"/>
              </w:rPr>
              <w:t>MSMT-16967/2014-2</w:t>
            </w:r>
          </w:p>
          <w:p w:rsidR="005F166F" w:rsidRPr="00E718FC" w:rsidRDefault="005F166F">
            <w:pPr>
              <w:spacing w:before="144" w:line="217" w:lineRule="exact"/>
              <w:ind w:left="61" w:right="828"/>
              <w:rPr>
                <w:rFonts w:ascii="Tahoma" w:hAnsi="Tahoma"/>
                <w:b/>
                <w:color w:val="000000"/>
                <w:sz w:val="17"/>
                <w:lang w:val="cs-CZ"/>
              </w:rPr>
            </w:pPr>
            <w:r w:rsidRPr="00E718FC">
              <w:rPr>
                <w:rFonts w:ascii="Tahoma" w:hAnsi="Tahoma"/>
                <w:b/>
                <w:color w:val="000000"/>
                <w:sz w:val="17"/>
                <w:lang w:val="cs-CZ"/>
              </w:rPr>
              <w:t xml:space="preserve">Vyřizuje / linka </w:t>
            </w:r>
            <w:r w:rsidRPr="00E718FC">
              <w:rPr>
                <w:rFonts w:ascii="Verdana" w:hAnsi="Verdana"/>
                <w:color w:val="000000"/>
                <w:spacing w:val="-11"/>
                <w:sz w:val="17"/>
                <w:lang w:val="cs-CZ"/>
              </w:rPr>
              <w:t>Tomáš Kyselica / 1704</w:t>
            </w:r>
          </w:p>
        </w:tc>
        <w:tc>
          <w:tcPr>
            <w:tcW w:w="6505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96" w:space="0" w:color="FFFFFF"/>
              <w:right w:val="none" w:sz="0" w:space="0" w:color="000000"/>
            </w:tcBorders>
            <w:vAlign w:val="bottom"/>
          </w:tcPr>
          <w:p w:rsidR="005F166F" w:rsidRPr="00E718FC" w:rsidRDefault="005F166F"/>
        </w:tc>
      </w:tr>
      <w:tr w:rsidR="005F166F" w:rsidRPr="00E718FC">
        <w:trPr>
          <w:trHeight w:hRule="exact" w:val="19"/>
        </w:trPr>
        <w:tc>
          <w:tcPr>
            <w:tcW w:w="267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  <w:tc>
          <w:tcPr>
            <w:tcW w:w="1667" w:type="dxa"/>
            <w:tcBorders>
              <w:top w:val="none" w:sz="96" w:space="0" w:color="FFFFF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  <w:tc>
          <w:tcPr>
            <w:tcW w:w="4838" w:type="dxa"/>
            <w:tcBorders>
              <w:top w:val="none" w:sz="96" w:space="0" w:color="FFFFFF"/>
              <w:left w:val="none" w:sz="0" w:space="0" w:color="000000"/>
              <w:bottom w:val="single" w:sz="4" w:space="0" w:color="236B6C"/>
              <w:right w:val="none" w:sz="0" w:space="0" w:color="000000"/>
            </w:tcBorders>
          </w:tcPr>
          <w:p w:rsidR="005F166F" w:rsidRPr="00E718FC" w:rsidRDefault="005F166F"/>
        </w:tc>
      </w:tr>
      <w:tr w:rsidR="005F166F" w:rsidRPr="00E718FC">
        <w:trPr>
          <w:trHeight w:hRule="exact" w:val="2009"/>
        </w:trPr>
        <w:tc>
          <w:tcPr>
            <w:tcW w:w="267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  <w:tc>
          <w:tcPr>
            <w:tcW w:w="16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356073"/>
            </w:tcBorders>
          </w:tcPr>
          <w:p w:rsidR="005F166F" w:rsidRPr="00E718FC" w:rsidRDefault="005F166F"/>
        </w:tc>
        <w:tc>
          <w:tcPr>
            <w:tcW w:w="4838" w:type="dxa"/>
            <w:tcBorders>
              <w:top w:val="single" w:sz="4" w:space="0" w:color="236B6C"/>
              <w:left w:val="single" w:sz="4" w:space="0" w:color="356073"/>
              <w:bottom w:val="single" w:sz="4" w:space="0" w:color="2B6D8C"/>
              <w:right w:val="none" w:sz="0" w:space="0" w:color="000000"/>
            </w:tcBorders>
          </w:tcPr>
          <w:p w:rsidR="005F166F" w:rsidRPr="00E718FC" w:rsidRDefault="005F166F">
            <w:pPr>
              <w:ind w:left="1008"/>
              <w:rPr>
                <w:rFonts w:ascii="Verdana" w:hAnsi="Verdana"/>
                <w:color w:val="000000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z w:val="17"/>
                <w:lang w:val="cs-CZ"/>
              </w:rPr>
              <w:t>Vážená paní</w:t>
            </w:r>
          </w:p>
          <w:p w:rsidR="005F166F" w:rsidRPr="00E718FC" w:rsidRDefault="005F166F">
            <w:pPr>
              <w:spacing w:before="36" w:line="285" w:lineRule="auto"/>
              <w:ind w:left="1008" w:right="1872"/>
              <w:rPr>
                <w:rFonts w:ascii="Tahoma" w:hAnsi="Tahoma"/>
                <w:b/>
                <w:color w:val="000000"/>
                <w:spacing w:val="-4"/>
                <w:sz w:val="17"/>
                <w:lang w:val="cs-CZ"/>
              </w:rPr>
            </w:pPr>
            <w:r w:rsidRPr="00E718FC">
              <w:rPr>
                <w:rFonts w:ascii="Tahoma" w:hAnsi="Tahoma"/>
                <w:b/>
                <w:color w:val="000000"/>
                <w:spacing w:val="-4"/>
                <w:sz w:val="17"/>
                <w:lang w:val="cs-CZ"/>
              </w:rPr>
              <w:t xml:space="preserve">JUDr. Radmila Šulcová </w:t>
            </w:r>
            <w:r w:rsidRPr="00E718FC">
              <w:rPr>
                <w:rFonts w:ascii="Verdana" w:hAnsi="Verdana"/>
                <w:color w:val="000000"/>
                <w:spacing w:val="-5"/>
                <w:sz w:val="17"/>
                <w:lang w:val="cs-CZ"/>
              </w:rPr>
              <w:t>vedoucí odboru školství</w:t>
            </w:r>
          </w:p>
          <w:p w:rsidR="005F166F" w:rsidRPr="00E718FC" w:rsidRDefault="005F166F">
            <w:pPr>
              <w:spacing w:before="36" w:line="285" w:lineRule="auto"/>
              <w:ind w:left="1008" w:right="756"/>
              <w:rPr>
                <w:rFonts w:ascii="Verdana" w:hAnsi="Verdana"/>
                <w:color w:val="000000"/>
                <w:spacing w:val="-10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10"/>
                <w:sz w:val="17"/>
                <w:lang w:val="cs-CZ"/>
              </w:rPr>
              <w:t xml:space="preserve">Krajský úřad Královéhradeckého kraje </w:t>
            </w:r>
            <w:r w:rsidRPr="00E718FC"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  <w:t>Pivovarské náměstí 1245</w:t>
            </w:r>
          </w:p>
          <w:p w:rsidR="005F166F" w:rsidRPr="00E718FC" w:rsidRDefault="005F166F">
            <w:pPr>
              <w:spacing w:before="72" w:line="213" w:lineRule="auto"/>
              <w:ind w:left="1008"/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  <w:t>500 03 Hradec Králové</w:t>
            </w:r>
          </w:p>
        </w:tc>
      </w:tr>
      <w:tr w:rsidR="005F166F" w:rsidRPr="00E718FC">
        <w:trPr>
          <w:trHeight w:hRule="exact" w:val="1065"/>
        </w:trPr>
        <w:tc>
          <w:tcPr>
            <w:tcW w:w="267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  <w:tc>
          <w:tcPr>
            <w:tcW w:w="16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  <w:tc>
          <w:tcPr>
            <w:tcW w:w="4838" w:type="dxa"/>
            <w:tcBorders>
              <w:top w:val="single" w:sz="4" w:space="0" w:color="2B6D8C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</w:tr>
    </w:tbl>
    <w:p w:rsidR="005F166F" w:rsidRDefault="005F166F">
      <w:pPr>
        <w:spacing w:after="160" w:line="20" w:lineRule="exact"/>
      </w:pPr>
    </w:p>
    <w:p w:rsidR="005F166F" w:rsidRDefault="005F166F">
      <w:pPr>
        <w:spacing w:line="201" w:lineRule="auto"/>
        <w:rPr>
          <w:rFonts w:ascii="Tahoma" w:hAnsi="Tahoma"/>
          <w:b/>
          <w:color w:val="000000"/>
          <w:spacing w:val="6"/>
          <w:sz w:val="17"/>
          <w:lang w:val="cs-CZ"/>
        </w:rPr>
      </w:pPr>
      <w:r>
        <w:rPr>
          <w:rFonts w:ascii="Tahoma" w:hAnsi="Tahoma"/>
          <w:b/>
          <w:color w:val="000000"/>
          <w:spacing w:val="6"/>
          <w:sz w:val="17"/>
          <w:lang w:val="cs-CZ"/>
        </w:rPr>
        <w:t xml:space="preserve">Datum . </w:t>
      </w:r>
      <w:r>
        <w:rPr>
          <w:rFonts w:ascii="Verdana" w:hAnsi="Verdana"/>
          <w:color w:val="000000"/>
          <w:spacing w:val="6"/>
          <w:sz w:val="17"/>
          <w:lang w:val="cs-CZ"/>
        </w:rPr>
        <w:t>6. 2014</w:t>
      </w:r>
    </w:p>
    <w:p w:rsidR="005F166F" w:rsidRDefault="005F166F">
      <w:pPr>
        <w:spacing w:before="144" w:line="424" w:lineRule="auto"/>
        <w:ind w:right="3744"/>
        <w:rPr>
          <w:rFonts w:ascii="Tahoma" w:hAnsi="Tahoma"/>
          <w:b/>
          <w:color w:val="000000"/>
          <w:spacing w:val="-5"/>
          <w:sz w:val="17"/>
          <w:lang w:val="cs-CZ"/>
        </w:rPr>
      </w:pPr>
      <w:r>
        <w:rPr>
          <w:rFonts w:ascii="Tahoma" w:hAnsi="Tahoma"/>
          <w:b/>
          <w:color w:val="000000"/>
          <w:spacing w:val="-5"/>
          <w:sz w:val="17"/>
          <w:lang w:val="cs-CZ"/>
        </w:rPr>
        <w:t xml:space="preserve">Věc: Účastníci řízení o přijetí k základnímu vzdělávání - odpověď </w:t>
      </w:r>
      <w:r>
        <w:rPr>
          <w:rFonts w:ascii="Verdana" w:hAnsi="Verdana"/>
          <w:color w:val="000000"/>
          <w:spacing w:val="-4"/>
          <w:sz w:val="17"/>
          <w:lang w:val="cs-CZ"/>
        </w:rPr>
        <w:t>Vážená paní vedoucí,</w:t>
      </w:r>
    </w:p>
    <w:p w:rsidR="005F166F" w:rsidRDefault="005F166F">
      <w:pPr>
        <w:spacing w:before="108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v odpovědí na Vaši žádost uvádíme následující:</w:t>
      </w:r>
    </w:p>
    <w:p w:rsidR="005F166F" w:rsidRDefault="005F166F">
      <w:pPr>
        <w:spacing w:before="108" w:line="283" w:lineRule="auto"/>
        <w:jc w:val="both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 xml:space="preserve">Ve správních řízeních, která se týkají předškolního vzdělávání či pinění povinné školní docházky, lze spatřovat </w:t>
      </w:r>
      <w:r>
        <w:rPr>
          <w:rFonts w:ascii="Verdana" w:hAnsi="Verdana"/>
          <w:color w:val="000000"/>
          <w:spacing w:val="2"/>
          <w:sz w:val="17"/>
          <w:lang w:val="cs-CZ"/>
        </w:rPr>
        <w:t xml:space="preserve">(zejména v případě řízení o přijetí ke vzdělávání či přestupu) záležitosti pro dítě významné. V souvislosti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s rekodifikací soukromého práva je nutno poukázat na několik ustanovení nového občanského zákoníku, která </w:t>
      </w:r>
      <w:r>
        <w:rPr>
          <w:rFonts w:ascii="Verdana" w:hAnsi="Verdana"/>
          <w:color w:val="000000"/>
          <w:spacing w:val="-6"/>
          <w:sz w:val="17"/>
          <w:lang w:val="cs-CZ"/>
        </w:rPr>
        <w:t>by mohla mít dopad na právní řešení situací, kdy dochází ve výše uvedených věcech k neshodě mezi zákonnými zástupci.</w:t>
      </w:r>
    </w:p>
    <w:p w:rsidR="005F166F" w:rsidRDefault="005F166F">
      <w:pPr>
        <w:spacing w:before="108" w:line="283" w:lineRule="auto"/>
        <w:jc w:val="both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 xml:space="preserve">Z § 892 odst. 2 občanského zákoníku plyne, že rodiče zastupují dítě společně, jednat však může každý z nich. Dále dle § 876 odst. 3 občanského zákoníku platí, že jedná-li jeden z rodičů v záležitosti dítěte sám vůči třetí </w:t>
      </w:r>
      <w:r>
        <w:rPr>
          <w:rFonts w:ascii="Verdana" w:hAnsi="Verdana"/>
          <w:color w:val="000000"/>
          <w:spacing w:val="3"/>
          <w:sz w:val="17"/>
          <w:lang w:val="cs-CZ"/>
        </w:rPr>
        <w:t xml:space="preserve">osobě, která je v dobré víře, má se za to, že jedná se souhlasem druhého rodiče. Dle důvodové zprávy </w:t>
      </w:r>
      <w:r>
        <w:rPr>
          <w:rFonts w:ascii="Verdana" w:hAnsi="Verdana"/>
          <w:color w:val="000000"/>
          <w:spacing w:val="1"/>
          <w:sz w:val="17"/>
          <w:lang w:val="cs-CZ"/>
        </w:rPr>
        <w:t xml:space="preserve">k občanskému zákoníku platí, že pokud jde o </w:t>
      </w:r>
      <w:r>
        <w:rPr>
          <w:rFonts w:ascii="Tahoma" w:hAnsi="Tahoma"/>
          <w:b/>
          <w:color w:val="000000"/>
          <w:spacing w:val="1"/>
          <w:sz w:val="17"/>
          <w:lang w:val="cs-CZ"/>
        </w:rPr>
        <w:t xml:space="preserve">vztah mezi rodiči </w:t>
      </w:r>
      <w:r>
        <w:rPr>
          <w:rFonts w:ascii="Arial" w:hAnsi="Arial"/>
          <w:i/>
          <w:color w:val="000000"/>
          <w:spacing w:val="1"/>
          <w:sz w:val="18"/>
          <w:lang w:val="cs-CZ"/>
        </w:rPr>
        <w:t xml:space="preserve">při výkonu jejich rodičovské odpovědnosti, </w:t>
      </w:r>
      <w:r>
        <w:rPr>
          <w:rFonts w:ascii="Arial" w:hAnsi="Arial"/>
          <w:b/>
          <w:i/>
          <w:color w:val="000000"/>
          <w:sz w:val="18"/>
          <w:lang w:val="cs-CZ"/>
        </w:rPr>
        <w:t xml:space="preserve">vychází se z toho, že je pozitivní, </w:t>
      </w:r>
      <w:r>
        <w:rPr>
          <w:rFonts w:ascii="Arial" w:hAnsi="Arial"/>
          <w:i/>
          <w:color w:val="000000"/>
          <w:sz w:val="18"/>
          <w:lang w:val="cs-CZ"/>
        </w:rPr>
        <w:t xml:space="preserve">totiž v tom smyslu, že rodiče mají možnost se na tomto výkonu — a to nejen </w:t>
      </w:r>
      <w:r>
        <w:rPr>
          <w:rFonts w:ascii="Arial" w:hAnsi="Arial"/>
          <w:i/>
          <w:color w:val="000000"/>
          <w:spacing w:val="-2"/>
          <w:sz w:val="18"/>
          <w:lang w:val="cs-CZ"/>
        </w:rPr>
        <w:t xml:space="preserve">obecně, ale i v jednotlivých otázkách — dohodnout, a že také takovou dohodu, resp. </w:t>
      </w:r>
      <w:r>
        <w:rPr>
          <w:rFonts w:ascii="Arial" w:hAnsi="Arial"/>
          <w:b/>
          <w:i/>
          <w:color w:val="000000"/>
          <w:spacing w:val="-2"/>
          <w:sz w:val="18"/>
          <w:lang w:val="cs-CZ"/>
        </w:rPr>
        <w:t xml:space="preserve">takové dohody uskutečňují.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Nemusí však jít o dohodu výslovnou, dobře postačí, že rodiče jsou zásadně zajedno, i když pak je výslovně </w:t>
      </w:r>
      <w:r>
        <w:rPr>
          <w:rFonts w:ascii="Verdana" w:hAnsi="Verdana"/>
          <w:color w:val="000000"/>
          <w:spacing w:val="-5"/>
          <w:sz w:val="17"/>
          <w:lang w:val="cs-CZ"/>
        </w:rPr>
        <w:t>projevena jen vůle jednoho z nich.</w:t>
      </w:r>
    </w:p>
    <w:p w:rsidR="005F166F" w:rsidRDefault="005F166F">
      <w:pPr>
        <w:spacing w:before="108" w:line="283" w:lineRule="auto"/>
        <w:jc w:val="both"/>
        <w:rPr>
          <w:rFonts w:ascii="Verdana" w:hAnsi="Verdana"/>
          <w:color w:val="000000"/>
          <w:spacing w:val="-5"/>
          <w:sz w:val="17"/>
          <w:lang w:val="cs-CZ"/>
        </w:rPr>
      </w:pPr>
      <w:r>
        <w:rPr>
          <w:rFonts w:ascii="Verdana" w:hAnsi="Verdana"/>
          <w:color w:val="000000"/>
          <w:spacing w:val="-5"/>
          <w:sz w:val="17"/>
          <w:lang w:val="cs-CZ"/>
        </w:rPr>
        <w:t xml:space="preserve">V případě, že je však správnímu orgánu neshoda rodičů známa (ať už se o ní správní orgán, resp. ředitel školy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dozvěděl před zahájením, v době zahájení nebo po zahájení správního řízení), případně lze důvodně pochybovat o shodě mezi rodiči, nabízí řešení § 877 odst. 1 občanského zákoníku, který stanoví, že nedohodnou-li se rodiče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v záležitosti, která je </w:t>
      </w:r>
      <w:r>
        <w:rPr>
          <w:rFonts w:ascii="Tahoma" w:hAnsi="Tahoma"/>
          <w:b/>
          <w:color w:val="000000"/>
          <w:spacing w:val="-1"/>
          <w:sz w:val="17"/>
          <w:lang w:val="cs-CZ"/>
        </w:rPr>
        <w:t xml:space="preserve">pro dítě významná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zejména se zřetelem k jeho zájmu, rozhodne soud na návrh rodiče; </w:t>
      </w:r>
      <w:r>
        <w:rPr>
          <w:rFonts w:ascii="Verdana" w:hAnsi="Verdana"/>
          <w:color w:val="000000"/>
          <w:spacing w:val="7"/>
          <w:sz w:val="17"/>
          <w:lang w:val="cs-CZ"/>
        </w:rPr>
        <w:t xml:space="preserve">to platí i tehdy, vyloučil-li jeden rodič z rozhodování o významné záležitosti dítěte druhého rodiče.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Za významnou záležitost se považuje </w:t>
      </w:r>
      <w:r>
        <w:rPr>
          <w:rFonts w:ascii="Tahoma" w:hAnsi="Tahoma"/>
          <w:b/>
          <w:color w:val="000000"/>
          <w:spacing w:val="-3"/>
          <w:sz w:val="17"/>
          <w:lang w:val="cs-CZ"/>
        </w:rPr>
        <w:t xml:space="preserve">i volba vzdělání dítěte,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pod což lze dle našeho názoru podřadit i </w:t>
      </w:r>
      <w:r>
        <w:rPr>
          <w:rFonts w:ascii="Tahoma" w:hAnsi="Tahoma"/>
          <w:b/>
          <w:color w:val="000000"/>
          <w:spacing w:val="-3"/>
          <w:sz w:val="17"/>
          <w:lang w:val="cs-CZ"/>
        </w:rPr>
        <w:t xml:space="preserve">výběr </w:t>
      </w:r>
      <w:r>
        <w:rPr>
          <w:rFonts w:ascii="Tahoma" w:hAnsi="Tahoma"/>
          <w:b/>
          <w:color w:val="000000"/>
          <w:spacing w:val="-2"/>
          <w:sz w:val="17"/>
          <w:lang w:val="cs-CZ"/>
        </w:rPr>
        <w:t>konkrétní školy.</w:t>
      </w:r>
    </w:p>
    <w:p w:rsidR="005F166F" w:rsidRDefault="005F166F">
      <w:pPr>
        <w:spacing w:before="144" w:line="283" w:lineRule="auto"/>
        <w:jc w:val="both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 xml:space="preserve">Jsme toho názoru, že ředitel školy by měl v případě, že ve výše uvedených věcech je mu znám nesoulad vůle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rodičů, usnesením přerušit řízení [v souladu s § 64 odst. 1 písm. c) správního řádu] a odkázat rodiče na soud, </w:t>
      </w:r>
      <w:r>
        <w:rPr>
          <w:rFonts w:ascii="Verdana" w:hAnsi="Verdana"/>
          <w:color w:val="000000"/>
          <w:spacing w:val="-5"/>
          <w:sz w:val="17"/>
          <w:lang w:val="cs-CZ"/>
        </w:rPr>
        <w:t>aby v souladu s § 877 občanského zákoníku rozhodl.</w:t>
      </w:r>
    </w:p>
    <w:p w:rsidR="005F166F" w:rsidRDefault="005F166F">
      <w:pPr>
        <w:spacing w:before="108" w:line="285" w:lineRule="auto"/>
        <w:jc w:val="both"/>
        <w:rPr>
          <w:rFonts w:ascii="Verdana" w:hAnsi="Verdana"/>
          <w:color w:val="000000"/>
          <w:spacing w:val="-5"/>
          <w:sz w:val="17"/>
          <w:lang w:val="cs-CZ"/>
        </w:rPr>
      </w:pPr>
      <w:r>
        <w:rPr>
          <w:rFonts w:ascii="Verdana" w:hAnsi="Verdana"/>
          <w:color w:val="000000"/>
          <w:spacing w:val="-5"/>
          <w:sz w:val="17"/>
          <w:lang w:val="cs-CZ"/>
        </w:rPr>
        <w:t xml:space="preserve">V souladu s § 471 odst. 2 zákona č. 292/2013 Sb., o zvláštních řízeních soudních (dále jen „z. z. ř."), rozhoduje </w:t>
      </w:r>
      <w:r>
        <w:rPr>
          <w:rFonts w:ascii="Verdana" w:hAnsi="Verdana"/>
          <w:color w:val="000000"/>
          <w:spacing w:val="6"/>
          <w:sz w:val="17"/>
          <w:lang w:val="cs-CZ"/>
        </w:rPr>
        <w:t xml:space="preserve">soud ve věcech péče soudu o nezletilé (kam náleží i rozhodování ve věcech rodičovské odpovědnosti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a zastupování nezletilého dítěte) </w:t>
      </w:r>
      <w:r>
        <w:rPr>
          <w:rFonts w:ascii="Tahoma" w:hAnsi="Tahoma"/>
          <w:b/>
          <w:color w:val="000000"/>
          <w:spacing w:val="-3"/>
          <w:sz w:val="17"/>
          <w:lang w:val="cs-CZ"/>
        </w:rPr>
        <w:t xml:space="preserve">s největším urychlením.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Z ustanovení z. z. ř. je zřejmé, že je to soud, kdo má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co nejrychleji nalézt řešení, vést rodiče ke smíru a řešit jejich vzájemné vztahy (rovněž kupř. § 474 odst. 1 z. z. </w:t>
      </w:r>
      <w:r>
        <w:rPr>
          <w:rFonts w:ascii="Verdana" w:hAnsi="Verdana"/>
          <w:color w:val="000000"/>
          <w:spacing w:val="-2"/>
          <w:sz w:val="17"/>
          <w:lang w:val="cs-CZ"/>
        </w:rPr>
        <w:t>ř.).</w:t>
      </w:r>
    </w:p>
    <w:p w:rsidR="005F166F" w:rsidRDefault="005F166F">
      <w:pPr>
        <w:spacing w:before="576" w:line="213" w:lineRule="auto"/>
        <w:rPr>
          <w:rFonts w:ascii="Tahoma" w:hAnsi="Tahoma"/>
          <w:b/>
          <w:color w:val="000000"/>
          <w:spacing w:val="-6"/>
          <w:sz w:val="17"/>
          <w:lang w:val="cs-CZ"/>
        </w:rPr>
      </w:pPr>
      <w:r>
        <w:rPr>
          <w:rFonts w:ascii="Tahoma" w:hAnsi="Tahoma"/>
          <w:b/>
          <w:color w:val="000000"/>
          <w:spacing w:val="-6"/>
          <w:sz w:val="17"/>
          <w:lang w:val="cs-CZ"/>
        </w:rPr>
        <w:t xml:space="preserve">tel. ústředna: </w:t>
      </w:r>
      <w:r>
        <w:rPr>
          <w:rFonts w:ascii="Verdana" w:hAnsi="Verdana"/>
          <w:color w:val="000000"/>
          <w:spacing w:val="-6"/>
          <w:sz w:val="17"/>
          <w:lang w:val="cs-CZ"/>
        </w:rPr>
        <w:t>+420 234 811 111</w:t>
      </w:r>
    </w:p>
    <w:p w:rsidR="005F166F" w:rsidRDefault="005F166F">
      <w:pPr>
        <w:spacing w:line="300" w:lineRule="auto"/>
        <w:ind w:right="5472"/>
        <w:rPr>
          <w:rFonts w:ascii="Tahoma" w:hAnsi="Tahoma"/>
          <w:b/>
          <w:color w:val="000000"/>
          <w:spacing w:val="-9"/>
          <w:sz w:val="17"/>
          <w:lang w:val="cs-CZ"/>
        </w:rPr>
      </w:pPr>
      <w:r>
        <w:rPr>
          <w:rFonts w:ascii="Tahoma" w:hAnsi="Tahoma"/>
          <w:b/>
          <w:color w:val="000000"/>
          <w:spacing w:val="-9"/>
          <w:sz w:val="17"/>
          <w:lang w:val="cs-CZ"/>
        </w:rPr>
        <w:t xml:space="preserve">Podatelna pro veřejnost: </w:t>
      </w:r>
      <w:r>
        <w:rPr>
          <w:rFonts w:ascii="Verdana" w:hAnsi="Verdana"/>
          <w:color w:val="000000"/>
          <w:spacing w:val="-9"/>
          <w:sz w:val="17"/>
          <w:lang w:val="cs-CZ"/>
        </w:rPr>
        <w:t xml:space="preserve">Po - Pá 7:30 - 15:30 </w:t>
      </w:r>
      <w:r>
        <w:rPr>
          <w:rFonts w:ascii="Tahoma" w:hAnsi="Tahoma"/>
          <w:b/>
          <w:color w:val="000000"/>
          <w:spacing w:val="-2"/>
          <w:sz w:val="17"/>
          <w:lang w:val="cs-CZ"/>
        </w:rPr>
        <w:t xml:space="preserve">Elektronická podatelna: </w:t>
      </w:r>
      <w:hyperlink r:id="rId5">
        <w:r>
          <w:rPr>
            <w:rFonts w:ascii="Verdana" w:hAnsi="Verdana"/>
            <w:color w:val="0000FF"/>
            <w:spacing w:val="-2"/>
            <w:sz w:val="17"/>
            <w:u w:val="single"/>
            <w:lang w:val="cs-CZ"/>
          </w:rPr>
          <w:t>posta@msmt.cz</w:t>
        </w:r>
      </w:hyperlink>
      <w:r>
        <w:rPr>
          <w:rFonts w:ascii="Verdana" w:hAnsi="Verdana"/>
          <w:color w:val="000000"/>
          <w:spacing w:val="-2"/>
          <w:sz w:val="17"/>
          <w:lang w:val="cs-CZ"/>
        </w:rPr>
        <w:t xml:space="preserve"> </w:t>
      </w:r>
      <w:hyperlink r:id="rId6">
        <w:r>
          <w:rPr>
            <w:rFonts w:ascii="Arial" w:hAnsi="Arial"/>
            <w:color w:val="0000FF"/>
            <w:spacing w:val="16"/>
            <w:sz w:val="16"/>
            <w:u w:val="single"/>
            <w:lang w:val="cs-CZ"/>
          </w:rPr>
          <w:t>www.msmt.cz</w:t>
        </w:r>
      </w:hyperlink>
    </w:p>
    <w:p w:rsidR="005F166F" w:rsidRDefault="005F166F">
      <w:pPr>
        <w:sectPr w:rsidR="005F166F">
          <w:pgSz w:w="11918" w:h="16854"/>
          <w:pgMar w:top="1070" w:right="1322" w:bottom="714" w:left="1356" w:header="708" w:footer="708" w:gutter="0"/>
          <w:cols w:space="708"/>
        </w:sectPr>
      </w:pPr>
    </w:p>
    <w:p w:rsidR="005F166F" w:rsidRDefault="005F166F">
      <w:r>
        <w:rPr>
          <w:noProof/>
          <w:lang w:val="cs-CZ" w:eastAsia="cs-CZ"/>
        </w:rPr>
        <w:pict>
          <v:line id="_x0000_s1027" style="position:absolute;z-index:251659264" from="-10.55pt,136.1pt" to="-10.55pt,646.6pt" strokecolor="#225f6a" strokeweight=".9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54"/>
        <w:gridCol w:w="6526"/>
      </w:tblGrid>
      <w:tr w:rsidR="005F166F" w:rsidRPr="00E718FC">
        <w:trPr>
          <w:trHeight w:hRule="exact" w:val="922"/>
        </w:trPr>
        <w:tc>
          <w:tcPr>
            <w:tcW w:w="26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0" w:space="0" w:color="18828B"/>
            </w:tcBorders>
          </w:tcPr>
          <w:p w:rsidR="005F166F" w:rsidRPr="00E718FC" w:rsidRDefault="005F166F">
            <w:pPr>
              <w:spacing w:before="72"/>
              <w:ind w:left="530" w:right="342"/>
            </w:pPr>
            <w:r w:rsidRPr="00E718FC">
              <w:rPr>
                <w:noProof/>
                <w:lang w:val="cs-CZ" w:eastAsia="cs-CZ"/>
              </w:rPr>
              <w:pict>
                <v:shape id="_x0000_i1026" type="#_x0000_t75" style="width:59.25pt;height:41.25pt;visibility:visible">
                  <v:imagedata r:id="rId7" o:title=""/>
                </v:shape>
              </w:pict>
            </w:r>
          </w:p>
        </w:tc>
        <w:tc>
          <w:tcPr>
            <w:tcW w:w="6526" w:type="dxa"/>
            <w:vMerge w:val="restart"/>
            <w:tcBorders>
              <w:top w:val="none" w:sz="0" w:space="0" w:color="000000"/>
              <w:left w:val="single" w:sz="20" w:space="0" w:color="18828B"/>
              <w:bottom w:val="none" w:sz="0" w:space="0" w:color="000000"/>
              <w:right w:val="none" w:sz="0" w:space="0" w:color="000000"/>
            </w:tcBorders>
            <w:vAlign w:val="bottom"/>
          </w:tcPr>
          <w:p w:rsidR="005F166F" w:rsidRPr="00E718FC" w:rsidRDefault="005F166F">
            <w:pPr>
              <w:spacing w:before="288" w:line="209" w:lineRule="exact"/>
              <w:ind w:left="245"/>
              <w:rPr>
                <w:rFonts w:ascii="Verdana" w:hAnsi="Verdana"/>
                <w:color w:val="000000"/>
                <w:spacing w:val="-4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4"/>
                <w:sz w:val="17"/>
                <w:lang w:val="cs-CZ"/>
              </w:rPr>
              <w:t>Odbor legislativy</w:t>
            </w:r>
          </w:p>
          <w:p w:rsidR="005F166F" w:rsidRPr="00E718FC" w:rsidRDefault="005F166F">
            <w:pPr>
              <w:spacing w:line="212" w:lineRule="exact"/>
              <w:ind w:left="216" w:right="2700"/>
              <w:rPr>
                <w:rFonts w:ascii="Verdana" w:hAnsi="Verdana"/>
                <w:color w:val="000000"/>
                <w:spacing w:val="-9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9"/>
                <w:sz w:val="17"/>
                <w:lang w:val="cs-CZ"/>
              </w:rPr>
              <w:t xml:space="preserve">Ministerstvo školství, mládeže a tělovýchovy </w:t>
            </w:r>
            <w:r w:rsidRPr="00E718FC">
              <w:rPr>
                <w:rFonts w:ascii="Verdana" w:hAnsi="Verdana"/>
                <w:color w:val="000000"/>
                <w:spacing w:val="-6"/>
                <w:sz w:val="17"/>
                <w:lang w:val="cs-CZ"/>
              </w:rPr>
              <w:t>Karmelitská 7</w:t>
            </w:r>
          </w:p>
          <w:p w:rsidR="005F166F" w:rsidRPr="00E718FC" w:rsidRDefault="005F166F">
            <w:pPr>
              <w:spacing w:before="72" w:line="169" w:lineRule="exact"/>
              <w:ind w:left="245"/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</w:pPr>
            <w:r w:rsidRPr="00E718FC">
              <w:rPr>
                <w:rFonts w:ascii="Verdana" w:hAnsi="Verdana"/>
                <w:color w:val="000000"/>
                <w:spacing w:val="-8"/>
                <w:sz w:val="17"/>
                <w:lang w:val="cs-CZ"/>
              </w:rPr>
              <w:t>118 12 Praha 1</w:t>
            </w:r>
          </w:p>
        </w:tc>
      </w:tr>
      <w:tr w:rsidR="005F166F" w:rsidRPr="00E718FC">
        <w:trPr>
          <w:trHeight w:hRule="exact" w:val="287"/>
        </w:trPr>
        <w:tc>
          <w:tcPr>
            <w:tcW w:w="265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>
            <w:pPr>
              <w:spacing w:before="36"/>
              <w:ind w:right="345"/>
              <w:jc w:val="right"/>
              <w:rPr>
                <w:rFonts w:ascii="Verdana" w:hAnsi="Verdana"/>
                <w:color w:val="000000"/>
                <w:sz w:val="14"/>
                <w:lang w:val="cs-CZ"/>
              </w:rPr>
            </w:pPr>
            <w:r w:rsidRPr="00E718FC">
              <w:rPr>
                <w:rFonts w:ascii="Verdana" w:hAnsi="Verdana"/>
                <w:color w:val="000000"/>
                <w:sz w:val="14"/>
                <w:lang w:val="cs-CZ"/>
              </w:rPr>
              <w:t>.S:.+.3LSTVí</w:t>
            </w:r>
          </w:p>
          <w:p w:rsidR="005F166F" w:rsidRPr="00E718FC" w:rsidRDefault="005F166F">
            <w:pPr>
              <w:spacing w:line="107" w:lineRule="exact"/>
              <w:ind w:right="435"/>
              <w:jc w:val="right"/>
              <w:rPr>
                <w:rFonts w:ascii="Arial" w:hAnsi="Arial"/>
                <w:color w:val="000000"/>
                <w:spacing w:val="12"/>
                <w:w w:val="80"/>
                <w:sz w:val="9"/>
                <w:vertAlign w:val="superscript"/>
                <w:lang w:val="cs-CZ"/>
              </w:rPr>
            </w:pPr>
            <w:r w:rsidRPr="00E718FC">
              <w:rPr>
                <w:rFonts w:ascii="Arial" w:hAnsi="Arial"/>
                <w:color w:val="000000"/>
                <w:spacing w:val="12"/>
                <w:w w:val="80"/>
                <w:sz w:val="9"/>
                <w:vertAlign w:val="superscript"/>
                <w:lang w:val="cs-CZ"/>
              </w:rPr>
              <w:t>1.</w:t>
            </w:r>
            <w:r w:rsidRPr="00E718FC">
              <w:rPr>
                <w:rFonts w:ascii="Verdana" w:hAnsi="Verdana"/>
                <w:color w:val="000000"/>
                <w:spacing w:val="12"/>
                <w:sz w:val="14"/>
                <w:lang w:val="cs-CZ"/>
              </w:rPr>
              <w:t xml:space="preserve">\:_f_ič_ </w:t>
            </w:r>
            <w:r w:rsidRPr="00E718FC">
              <w:rPr>
                <w:rFonts w:ascii="Verdana" w:hAnsi="Verdana"/>
                <w:color w:val="000000"/>
                <w:spacing w:val="12"/>
                <w:sz w:val="12"/>
                <w:lang w:val="cs-CZ"/>
              </w:rPr>
              <w:t>A i LLOvY0</w:t>
            </w:r>
            <w:r w:rsidRPr="00E718FC">
              <w:rPr>
                <w:rFonts w:ascii="Arial" w:hAnsi="Arial"/>
                <w:color w:val="000000"/>
                <w:spacing w:val="12"/>
                <w:sz w:val="12"/>
                <w:vertAlign w:val="superscript"/>
                <w:lang w:val="cs-CZ"/>
              </w:rPr>
              <w:t>,</w:t>
            </w:r>
            <w:r w:rsidRPr="00E718FC">
              <w:rPr>
                <w:rFonts w:ascii="Verdana" w:hAnsi="Verdana"/>
                <w:color w:val="000000"/>
                <w:spacing w:val="12"/>
                <w:sz w:val="12"/>
                <w:lang w:val="cs-CZ"/>
              </w:rPr>
              <w:t>101,'</w:t>
            </w:r>
            <w:r w:rsidRPr="00E718FC">
              <w:rPr>
                <w:rFonts w:ascii="Arial" w:hAnsi="Arial"/>
                <w:color w:val="000000"/>
                <w:spacing w:val="12"/>
                <w:sz w:val="12"/>
                <w:vertAlign w:val="superscript"/>
                <w:lang w:val="cs-CZ"/>
              </w:rPr>
              <w:t>,</w:t>
            </w:r>
            <w:r w:rsidRPr="00E718FC">
              <w:rPr>
                <w:rFonts w:ascii="Verdana" w:hAnsi="Verdana"/>
                <w:color w:val="000000"/>
                <w:spacing w:val="12"/>
                <w:sz w:val="12"/>
                <w:lang w:val="cs-CZ"/>
              </w:rPr>
              <w:t>"</w:t>
            </w:r>
          </w:p>
        </w:tc>
        <w:tc>
          <w:tcPr>
            <w:tcW w:w="652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5F166F" w:rsidRPr="00E718FC" w:rsidRDefault="005F166F"/>
        </w:tc>
      </w:tr>
      <w:tr w:rsidR="005F166F" w:rsidRPr="00E718FC">
        <w:trPr>
          <w:trHeight w:hRule="exact" w:val="58"/>
        </w:trPr>
        <w:tc>
          <w:tcPr>
            <w:tcW w:w="265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  <w:tc>
          <w:tcPr>
            <w:tcW w:w="65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F166F" w:rsidRPr="00E718FC" w:rsidRDefault="005F166F"/>
        </w:tc>
      </w:tr>
    </w:tbl>
    <w:p w:rsidR="005F166F" w:rsidRDefault="005F166F">
      <w:pPr>
        <w:spacing w:after="916" w:line="20" w:lineRule="exact"/>
      </w:pPr>
    </w:p>
    <w:p w:rsidR="005F166F" w:rsidRDefault="005F166F">
      <w:pPr>
        <w:jc w:val="right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>V souvislosti s tím, jaké následky může mít opomenutí zákonného zástupce pro další postup při rozhodování</w:t>
      </w:r>
    </w:p>
    <w:p w:rsidR="005F166F" w:rsidRDefault="005F166F">
      <w:pPr>
        <w:spacing w:line="283" w:lineRule="auto"/>
        <w:ind w:right="72" w:firstLine="216"/>
        <w:jc w:val="both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 xml:space="preserve">opravných prostředcích, je nutno vzít v úvahu, že Nejvyšší soud v rozhodnutí </w:t>
      </w:r>
      <w:r>
        <w:rPr>
          <w:rFonts w:ascii="Tahoma" w:hAnsi="Tahoma"/>
          <w:b/>
          <w:color w:val="000000"/>
          <w:sz w:val="16"/>
          <w:lang w:val="cs-CZ"/>
        </w:rPr>
        <w:t xml:space="preserve">sp. zn. 5 Cz 119/67 ze dne </w:t>
      </w:r>
      <w:r>
        <w:rPr>
          <w:rFonts w:ascii="Tahoma" w:hAnsi="Tahoma"/>
          <w:b/>
          <w:color w:val="000000"/>
          <w:spacing w:val="-5"/>
          <w:sz w:val="16"/>
          <w:lang w:val="cs-CZ"/>
        </w:rPr>
        <w:t xml:space="preserve">30. 11. 1967 </w:t>
      </w:r>
      <w:r>
        <w:rPr>
          <w:rFonts w:ascii="Verdana" w:hAnsi="Verdana"/>
          <w:color w:val="000000"/>
          <w:spacing w:val="-5"/>
          <w:sz w:val="17"/>
          <w:lang w:val="cs-CZ"/>
        </w:rPr>
        <w:t xml:space="preserve">vyslovil, že jde-li o věc podstatnou, musí být zjištěno, že projev zastupujícího rodiče je též výrazem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vůle druhého rodiče. Pokud by druhý rodič vyslovil nesouhlas, byly by dány podmínky pro postup podle § 49 </w:t>
      </w:r>
      <w:r>
        <w:rPr>
          <w:rFonts w:ascii="Verdana" w:hAnsi="Verdana"/>
          <w:color w:val="000000"/>
          <w:spacing w:val="-5"/>
          <w:sz w:val="17"/>
          <w:lang w:val="cs-CZ"/>
        </w:rPr>
        <w:t xml:space="preserve">zákona o rodině (pozn. v tehdy účinném znění). Nejvyšší soud uzavřel, že_vystupuje-li jako zástupce dítěte jen </w:t>
      </w:r>
      <w:r>
        <w:rPr>
          <w:rFonts w:ascii="Verdana" w:hAnsi="Verdana"/>
          <w:color w:val="000000"/>
          <w:spacing w:val="-4"/>
          <w:sz w:val="17"/>
          <w:lang w:val="cs-CZ"/>
        </w:rPr>
        <w:t>jeden rodič, je třeba se dotázat druhého rodiče, zda s projevem zastupujícího rodiče souhlasí.</w:t>
      </w:r>
    </w:p>
    <w:p w:rsidR="005F166F" w:rsidRDefault="005F166F">
      <w:pPr>
        <w:spacing w:before="144" w:line="288" w:lineRule="auto"/>
        <w:ind w:right="72"/>
        <w:jc w:val="both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 xml:space="preserve">Výše uvedené závěry Nejvyššího soudu jsou s jistým omezením uplatnitelné i nadále poté, co nabyl účinnosti </w:t>
      </w:r>
      <w:r>
        <w:rPr>
          <w:rFonts w:ascii="Verdana" w:hAnsi="Verdana"/>
          <w:color w:val="000000"/>
          <w:sz w:val="17"/>
          <w:lang w:val="cs-CZ"/>
        </w:rPr>
        <w:t xml:space="preserve">nový občanský zákoník. Je však nutné přihlédnout k výše uvedené zákonem formulované vyvratitelné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domněnce, že rodiče </w:t>
      </w:r>
      <w:r>
        <w:rPr>
          <w:rFonts w:ascii="Tahoma" w:hAnsi="Tahoma"/>
          <w:b/>
          <w:color w:val="000000"/>
          <w:spacing w:val="-4"/>
          <w:sz w:val="16"/>
          <w:lang w:val="cs-CZ"/>
        </w:rPr>
        <w:t xml:space="preserve">jednají ve vzájemné shodě,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přičemž zákon v této otázce </w:t>
      </w:r>
      <w:r>
        <w:rPr>
          <w:rFonts w:ascii="Tahoma" w:hAnsi="Tahoma"/>
          <w:b/>
          <w:color w:val="000000"/>
          <w:spacing w:val="-4"/>
          <w:sz w:val="16"/>
          <w:lang w:val="cs-CZ"/>
        </w:rPr>
        <w:t xml:space="preserve">nerozlišuje mezi věcmi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pro dítě </w:t>
      </w:r>
      <w:r>
        <w:rPr>
          <w:rFonts w:ascii="Tahoma" w:hAnsi="Tahoma"/>
          <w:b/>
          <w:color w:val="000000"/>
          <w:spacing w:val="2"/>
          <w:sz w:val="16"/>
          <w:lang w:val="cs-CZ"/>
        </w:rPr>
        <w:t>významnými a ostatními.</w:t>
      </w:r>
    </w:p>
    <w:p w:rsidR="005F166F" w:rsidRDefault="005F166F">
      <w:pPr>
        <w:spacing w:before="108" w:line="285" w:lineRule="auto"/>
        <w:ind w:right="72"/>
        <w:jc w:val="both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 xml:space="preserve">Nelze rovněž dále dle našeho názoru dovodit, že by rodiče byli účastníky 'řízení o přijetí nebo přestupu, jelikož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tito nejsou subjekty, jejichž právní sféra (práva a povinnosti) by mohla být rozhodnutím ředitele školy přímo </w:t>
      </w:r>
      <w:r>
        <w:rPr>
          <w:rFonts w:ascii="Verdana" w:hAnsi="Verdana"/>
          <w:color w:val="000000"/>
          <w:spacing w:val="-6"/>
          <w:sz w:val="17"/>
          <w:lang w:val="cs-CZ"/>
        </w:rPr>
        <w:t xml:space="preserve">dotčena (dle § 27 správního řádu je účastníkem v řízení o žádosti </w:t>
      </w:r>
      <w:r>
        <w:rPr>
          <w:rFonts w:ascii="Tahoma" w:hAnsi="Tahoma"/>
          <w:b/>
          <w:color w:val="000000"/>
          <w:spacing w:val="-6"/>
          <w:sz w:val="16"/>
          <w:lang w:val="cs-CZ"/>
        </w:rPr>
        <w:t xml:space="preserve">žadatel a další dotčené osoby, </w:t>
      </w:r>
      <w:r>
        <w:rPr>
          <w:rFonts w:ascii="Verdana" w:hAnsi="Verdana"/>
          <w:color w:val="000000"/>
          <w:spacing w:val="-6"/>
          <w:sz w:val="17"/>
          <w:lang w:val="cs-CZ"/>
        </w:rPr>
        <w:t xml:space="preserve">na které se pro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společenství práv nebo povinností s žadatelem musí vztahovat rozhodnutí správního orgánu; v řízení z moci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úřední jsou účastníky </w:t>
      </w:r>
      <w:r>
        <w:rPr>
          <w:rFonts w:ascii="Tahoma" w:hAnsi="Tahoma"/>
          <w:b/>
          <w:color w:val="000000"/>
          <w:spacing w:val="-1"/>
          <w:sz w:val="16"/>
          <w:lang w:val="cs-CZ"/>
        </w:rPr>
        <w:t xml:space="preserve">dotčené osoby,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jimi má rozhodnutí založit, změnit nebo zrušit právo anebo povinnost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nebo prohlásit, že právo nebo povinnost mají anebo nemají; účastníky jsou též další dotčené osoby, pokud </w:t>
      </w:r>
      <w:r>
        <w:rPr>
          <w:rFonts w:ascii="Tahoma" w:hAnsi="Tahoma"/>
          <w:b/>
          <w:color w:val="000000"/>
          <w:sz w:val="16"/>
          <w:lang w:val="cs-CZ"/>
        </w:rPr>
        <w:t xml:space="preserve">mohou být rozhodnutím přímo dotčeny </w:t>
      </w:r>
      <w:r>
        <w:rPr>
          <w:rFonts w:ascii="Verdana" w:hAnsi="Verdana"/>
          <w:color w:val="000000"/>
          <w:sz w:val="17"/>
          <w:lang w:val="cs-CZ"/>
        </w:rPr>
        <w:t xml:space="preserve">ve svých právech nebo povinnostech a rovněž osoby, o kterých to </w:t>
      </w:r>
      <w:r>
        <w:rPr>
          <w:rFonts w:ascii="Tahoma" w:hAnsi="Tahoma"/>
          <w:b/>
          <w:color w:val="000000"/>
          <w:sz w:val="16"/>
          <w:lang w:val="cs-CZ"/>
        </w:rPr>
        <w:t>stanoví zvláštní zákon).</w:t>
      </w:r>
    </w:p>
    <w:p w:rsidR="005F166F" w:rsidRDefault="005F166F">
      <w:pPr>
        <w:spacing w:before="144" w:line="283" w:lineRule="auto"/>
        <w:ind w:right="72"/>
        <w:jc w:val="both"/>
        <w:rPr>
          <w:rFonts w:ascii="Verdana" w:hAnsi="Verdana"/>
          <w:color w:val="000000"/>
          <w:spacing w:val="-5"/>
          <w:sz w:val="17"/>
          <w:lang w:val="cs-CZ"/>
        </w:rPr>
      </w:pPr>
      <w:r>
        <w:rPr>
          <w:rFonts w:ascii="Verdana" w:hAnsi="Verdana"/>
          <w:color w:val="000000"/>
          <w:spacing w:val="-5"/>
          <w:sz w:val="17"/>
          <w:lang w:val="cs-CZ"/>
        </w:rPr>
        <w:t xml:space="preserve">Názor, že právní sféra rodičů je přímo dotčena rozhodnutím ředitele školy, neobstojí, pokud přihlédneme ke </w:t>
      </w:r>
      <w:r>
        <w:rPr>
          <w:rFonts w:ascii="Verdana" w:hAnsi="Verdana"/>
          <w:color w:val="000000"/>
          <w:spacing w:val="5"/>
          <w:sz w:val="17"/>
          <w:lang w:val="cs-CZ"/>
        </w:rPr>
        <w:t xml:space="preserve">skutečnosti, že veškerá svá oprávnění a povinnosti vykonává rodič jakožto zákonný zástupce jenom </w:t>
      </w:r>
      <w:r>
        <w:rPr>
          <w:rFonts w:ascii="Verdana" w:hAnsi="Verdana"/>
          <w:color w:val="000000"/>
          <w:spacing w:val="-7"/>
          <w:sz w:val="17"/>
          <w:lang w:val="cs-CZ"/>
        </w:rPr>
        <w:t xml:space="preserve">s přihlédnutím k nejlepšímu zájmu dítěte, přičemž tato zásada je i důvodem, proč je rodič nadán těmito, svým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způsobem odvozenými, právy a povinnostmi (rodičům náleží kupř. povinnost přihlásit dítě k zápisu k povinné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školní docházce ve smyslu § 36 odst. 4 školského zákona nebo svoboda zákonných zástupců zvolit jiné než </w:t>
      </w:r>
      <w:r>
        <w:rPr>
          <w:rFonts w:ascii="Verdana" w:hAnsi="Verdana"/>
          <w:color w:val="000000"/>
          <w:spacing w:val="-4"/>
          <w:sz w:val="17"/>
          <w:lang w:val="cs-CZ"/>
        </w:rPr>
        <w:t>veřejné školy dle čl. 13 Mezinárodního paktu o hospodářských, sociálních a kulturních právech).</w:t>
      </w:r>
    </w:p>
    <w:p w:rsidR="005F166F" w:rsidRDefault="005F166F">
      <w:pPr>
        <w:spacing w:before="108" w:line="283" w:lineRule="auto"/>
        <w:ind w:right="72"/>
        <w:jc w:val="both"/>
        <w:rPr>
          <w:rFonts w:ascii="Verdana" w:hAnsi="Verdana"/>
          <w:color w:val="000000"/>
          <w:spacing w:val="-2"/>
          <w:sz w:val="17"/>
          <w:lang w:val="cs-CZ"/>
        </w:rPr>
      </w:pPr>
      <w:r>
        <w:rPr>
          <w:rFonts w:ascii="Verdana" w:hAnsi="Verdana"/>
          <w:color w:val="000000"/>
          <w:spacing w:val="-2"/>
          <w:sz w:val="17"/>
          <w:lang w:val="cs-CZ"/>
        </w:rPr>
        <w:t xml:space="preserve">Závěrem lze tedy konstatovat, že ředitel školy by měl, pokud byla ve věci </w:t>
      </w:r>
      <w:r>
        <w:rPr>
          <w:rFonts w:ascii="Tahoma" w:hAnsi="Tahoma"/>
          <w:b/>
          <w:color w:val="000000"/>
          <w:spacing w:val="-2"/>
          <w:sz w:val="16"/>
          <w:lang w:val="cs-CZ"/>
        </w:rPr>
        <w:t xml:space="preserve">pro dítě významné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podána žádost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pouze jedním z rodičů, informovat o této skutečností i druhého zákonného zástupce, tak aby bylo zabráněno </w:t>
      </w:r>
      <w:r>
        <w:rPr>
          <w:rFonts w:ascii="Verdana" w:hAnsi="Verdana"/>
          <w:color w:val="000000"/>
          <w:spacing w:val="-3"/>
          <w:sz w:val="17"/>
          <w:lang w:val="cs-CZ"/>
        </w:rPr>
        <w:t xml:space="preserve">situaci, že tento nebude mít možnost vyjádřit svůj nesouhlas. Tento postup je však nutný jenom v případech,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kdy neshoda rodičů je zřejmá nebo ji ředitel školy může předpokládat, a tedy není v dobré víře ohledně </w:t>
      </w:r>
      <w:r>
        <w:rPr>
          <w:rFonts w:ascii="Verdana" w:hAnsi="Verdana"/>
          <w:color w:val="000000"/>
          <w:spacing w:val="-4"/>
          <w:sz w:val="17"/>
          <w:lang w:val="cs-CZ"/>
        </w:rPr>
        <w:t>vzájemné dohody mezi rodiči.</w:t>
      </w:r>
    </w:p>
    <w:p w:rsidR="005F166F" w:rsidRDefault="005F166F">
      <w:pPr>
        <w:spacing w:before="144" w:line="285" w:lineRule="auto"/>
        <w:ind w:right="72"/>
        <w:jc w:val="both"/>
        <w:rPr>
          <w:rFonts w:ascii="Verdana" w:hAnsi="Verdana"/>
          <w:color w:val="000000"/>
          <w:spacing w:val="-3"/>
          <w:sz w:val="17"/>
          <w:lang w:val="cs-CZ"/>
        </w:rPr>
      </w:pPr>
      <w:r w:rsidRPr="00D003E7">
        <w:rPr>
          <w:rFonts w:ascii="Verdana" w:hAnsi="Verdana"/>
          <w:b/>
          <w:color w:val="000000"/>
          <w:spacing w:val="-3"/>
          <w:sz w:val="17"/>
          <w:highlight w:val="yellow"/>
          <w:u w:val="single"/>
          <w:lang w:val="cs-CZ"/>
        </w:rPr>
        <w:t>Pokud by byl rodič v řízení opomenut</w:t>
      </w:r>
      <w:r w:rsidRPr="00D003E7">
        <w:rPr>
          <w:rFonts w:ascii="Verdana" w:hAnsi="Verdana"/>
          <w:color w:val="000000"/>
          <w:spacing w:val="-3"/>
          <w:sz w:val="17"/>
          <w:highlight w:val="yellow"/>
          <w:lang w:val="cs-CZ"/>
        </w:rPr>
        <w:t xml:space="preserve">, ačkoliv z okolností případu je zřejmé, že </w:t>
      </w:r>
      <w:r w:rsidRPr="00D003E7">
        <w:rPr>
          <w:rFonts w:ascii="Verdana" w:hAnsi="Verdana"/>
          <w:color w:val="000000"/>
          <w:spacing w:val="-3"/>
          <w:sz w:val="17"/>
          <w:highlight w:val="yellow"/>
          <w:u w:val="single"/>
          <w:lang w:val="cs-CZ"/>
        </w:rPr>
        <w:t>ředitel nebyl v dobré víře</w:t>
      </w:r>
      <w:r w:rsidRPr="00D003E7">
        <w:rPr>
          <w:rFonts w:ascii="Verdana" w:hAnsi="Verdana"/>
          <w:color w:val="000000"/>
          <w:spacing w:val="-3"/>
          <w:sz w:val="17"/>
          <w:highlight w:val="yellow"/>
          <w:lang w:val="cs-CZ"/>
        </w:rPr>
        <w:t xml:space="preserve">, </w:t>
      </w:r>
      <w:r w:rsidRPr="00D003E7">
        <w:rPr>
          <w:rFonts w:ascii="Verdana" w:hAnsi="Verdana"/>
          <w:color w:val="000000"/>
          <w:spacing w:val="-5"/>
          <w:sz w:val="17"/>
          <w:highlight w:val="yellow"/>
          <w:lang w:val="cs-CZ"/>
        </w:rPr>
        <w:t xml:space="preserve">představuje procesní pochybení správního orgánu důvod, pro který </w:t>
      </w:r>
      <w:r w:rsidRPr="00D003E7">
        <w:rPr>
          <w:rFonts w:ascii="Verdana" w:hAnsi="Verdana"/>
          <w:b/>
          <w:color w:val="000000"/>
          <w:spacing w:val="-5"/>
          <w:sz w:val="17"/>
          <w:highlight w:val="yellow"/>
          <w:u w:val="single"/>
          <w:lang w:val="cs-CZ"/>
        </w:rPr>
        <w:t xml:space="preserve">je rozhodnutí vydáno v rozporu s právními </w:t>
      </w:r>
      <w:r w:rsidRPr="00D003E7">
        <w:rPr>
          <w:rFonts w:ascii="Verdana" w:hAnsi="Verdana"/>
          <w:b/>
          <w:color w:val="000000"/>
          <w:spacing w:val="-6"/>
          <w:sz w:val="17"/>
          <w:highlight w:val="yellow"/>
          <w:u w:val="single"/>
          <w:lang w:val="cs-CZ"/>
        </w:rPr>
        <w:t>předpisy</w:t>
      </w:r>
      <w:r w:rsidRPr="00D003E7">
        <w:rPr>
          <w:rFonts w:ascii="Verdana" w:hAnsi="Verdana"/>
          <w:color w:val="000000"/>
          <w:spacing w:val="-6"/>
          <w:sz w:val="17"/>
          <w:highlight w:val="yellow"/>
          <w:lang w:val="cs-CZ"/>
        </w:rPr>
        <w:t xml:space="preserve"> (zejména s § 877 odst. 1 občanského zákoníku ve spojení s § 876 odst. 3 téhož zákona).</w:t>
      </w:r>
    </w:p>
    <w:p w:rsidR="005F166F" w:rsidRDefault="005F166F">
      <w:pPr>
        <w:spacing w:before="108" w:after="108"/>
        <w:rPr>
          <w:rFonts w:ascii="Verdana" w:hAnsi="Verdana"/>
          <w:color w:val="000000"/>
          <w:spacing w:val="-8"/>
          <w:sz w:val="17"/>
          <w:lang w:val="cs-CZ"/>
        </w:rPr>
      </w:pPr>
      <w:r>
        <w:rPr>
          <w:rFonts w:ascii="Verdana" w:hAnsi="Verdana"/>
          <w:color w:val="000000"/>
          <w:spacing w:val="-8"/>
          <w:sz w:val="17"/>
          <w:lang w:val="cs-CZ"/>
        </w:rPr>
        <w:t>S pozdravem</w:t>
      </w:r>
    </w:p>
    <w:p w:rsidR="005F166F" w:rsidRDefault="005F166F">
      <w:pPr>
        <w:spacing w:before="540" w:line="216" w:lineRule="exact"/>
        <w:ind w:right="7776"/>
        <w:rPr>
          <w:rFonts w:ascii="Tahoma" w:hAnsi="Tahoma"/>
          <w:b/>
          <w:color w:val="000000"/>
          <w:spacing w:val="2"/>
          <w:sz w:val="16"/>
          <w:lang w:val="cs-CZ"/>
        </w:rPr>
      </w:pPr>
      <w:r>
        <w:rPr>
          <w:noProof/>
          <w:lang w:val="cs-CZ" w:eastAsia="cs-CZ"/>
        </w:rPr>
        <w:pict>
          <v:line id="_x0000_s1028" style="position:absolute;z-index:251660288" from="72.8pt,.4pt" to="98.75pt,.4pt" strokeweight=".7pt"/>
        </w:pict>
      </w:r>
      <w:r>
        <w:rPr>
          <w:rFonts w:ascii="Tahoma" w:hAnsi="Tahoma"/>
          <w:b/>
          <w:color w:val="000000"/>
          <w:spacing w:val="2"/>
          <w:sz w:val="16"/>
          <w:lang w:val="cs-CZ"/>
        </w:rPr>
        <w:t xml:space="preserve">Mgr. Petr Vokáč </w:t>
      </w:r>
      <w:r>
        <w:rPr>
          <w:rFonts w:ascii="Verdana" w:hAnsi="Verdana"/>
          <w:color w:val="000000"/>
          <w:spacing w:val="-2"/>
          <w:sz w:val="17"/>
          <w:lang w:val="cs-CZ"/>
        </w:rPr>
        <w:t>ředitel odboru</w:t>
      </w:r>
    </w:p>
    <w:p w:rsidR="005F166F" w:rsidRDefault="005F166F">
      <w:pPr>
        <w:spacing w:before="1080" w:line="180" w:lineRule="exact"/>
        <w:rPr>
          <w:rFonts w:ascii="Tahoma" w:hAnsi="Tahoma"/>
          <w:b/>
          <w:color w:val="000000"/>
          <w:spacing w:val="-5"/>
          <w:sz w:val="16"/>
          <w:lang w:val="cs-CZ"/>
        </w:rPr>
      </w:pPr>
      <w:r>
        <w:rPr>
          <w:rFonts w:ascii="Tahoma" w:hAnsi="Tahoma"/>
          <w:b/>
          <w:color w:val="000000"/>
          <w:spacing w:val="-5"/>
          <w:sz w:val="16"/>
          <w:lang w:val="cs-CZ"/>
        </w:rPr>
        <w:t xml:space="preserve">tel. ústředna: </w:t>
      </w:r>
      <w:r>
        <w:rPr>
          <w:rFonts w:ascii="Verdana" w:hAnsi="Verdana"/>
          <w:color w:val="000000"/>
          <w:spacing w:val="-5"/>
          <w:sz w:val="17"/>
          <w:lang w:val="cs-CZ"/>
        </w:rPr>
        <w:t>+420 234 811 111</w:t>
      </w:r>
    </w:p>
    <w:p w:rsidR="005F166F" w:rsidRDefault="005F166F">
      <w:pPr>
        <w:spacing w:before="72" w:line="225" w:lineRule="exact"/>
        <w:ind w:right="5472"/>
        <w:rPr>
          <w:rFonts w:ascii="Tahoma" w:hAnsi="Tahoma"/>
          <w:b/>
          <w:color w:val="000000"/>
          <w:spacing w:val="-7"/>
          <w:sz w:val="16"/>
          <w:lang w:val="cs-CZ"/>
        </w:rPr>
      </w:pPr>
      <w:r>
        <w:rPr>
          <w:rFonts w:ascii="Tahoma" w:hAnsi="Tahoma"/>
          <w:b/>
          <w:color w:val="000000"/>
          <w:spacing w:val="-7"/>
          <w:sz w:val="16"/>
          <w:lang w:val="cs-CZ"/>
        </w:rPr>
        <w:t xml:space="preserve">Podatelna pro veřejnost: </w:t>
      </w:r>
      <w:r>
        <w:rPr>
          <w:rFonts w:ascii="Verdana" w:hAnsi="Verdana"/>
          <w:color w:val="000000"/>
          <w:spacing w:val="-7"/>
          <w:sz w:val="17"/>
          <w:lang w:val="cs-CZ"/>
        </w:rPr>
        <w:t xml:space="preserve">Po - Pá 7:30 - 15:30 </w:t>
      </w:r>
      <w:r>
        <w:rPr>
          <w:rFonts w:ascii="Tahoma" w:hAnsi="Tahoma"/>
          <w:b/>
          <w:color w:val="000000"/>
          <w:sz w:val="16"/>
          <w:lang w:val="cs-CZ"/>
        </w:rPr>
        <w:t xml:space="preserve">Elektronická podatelna: </w:t>
      </w:r>
      <w:hyperlink r:id="rId8">
        <w:r>
          <w:rPr>
            <w:rFonts w:ascii="Tahoma" w:hAnsi="Tahoma"/>
            <w:color w:val="0000FF"/>
            <w:spacing w:val="10"/>
            <w:sz w:val="16"/>
            <w:u w:val="single"/>
            <w:lang w:val="cs-CZ"/>
          </w:rPr>
          <w:t>posta@msmt.cz</w:t>
        </w:r>
      </w:hyperlink>
      <w:r>
        <w:rPr>
          <w:rFonts w:ascii="Tahoma" w:hAnsi="Tahoma"/>
          <w:color w:val="000000"/>
          <w:spacing w:val="10"/>
          <w:sz w:val="16"/>
          <w:lang w:val="cs-CZ"/>
        </w:rPr>
        <w:t xml:space="preserve"> </w:t>
      </w:r>
      <w:hyperlink r:id="rId9">
        <w:r>
          <w:rPr>
            <w:rFonts w:ascii="Verdana" w:hAnsi="Verdana"/>
            <w:color w:val="0000FF"/>
            <w:sz w:val="16"/>
            <w:u w:val="single"/>
            <w:lang w:val="cs-CZ"/>
          </w:rPr>
          <w:t>www.msmt.cz</w:t>
        </w:r>
      </w:hyperlink>
    </w:p>
    <w:sectPr w:rsidR="005F166F" w:rsidSect="000A0A89">
      <w:pgSz w:w="11918" w:h="16854"/>
      <w:pgMar w:top="1100" w:right="1331" w:bottom="704" w:left="134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A89"/>
    <w:rsid w:val="0009221D"/>
    <w:rsid w:val="000A0A89"/>
    <w:rsid w:val="00131B61"/>
    <w:rsid w:val="00340029"/>
    <w:rsid w:val="005F166F"/>
    <w:rsid w:val="00D003E7"/>
    <w:rsid w:val="00E7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29"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0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smt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sta@msmt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1001</Words>
  <Characters>5907</Characters>
  <Application>Microsoft Office Outlook</Application>
  <DocSecurity>0</DocSecurity>
  <Lines>0</Lines>
  <Paragraphs>0</Paragraphs>
  <ScaleCrop>false</ScaleCrop>
  <Company>Krajský úřad, Královehradecký kraj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Odlová Svatava Mgr.</dc:creator>
  <cp:keywords/>
  <dc:description/>
  <cp:lastModifiedBy>Dušan Rejl</cp:lastModifiedBy>
  <cp:revision>2</cp:revision>
  <dcterms:created xsi:type="dcterms:W3CDTF">2014-09-15T08:53:00Z</dcterms:created>
  <dcterms:modified xsi:type="dcterms:W3CDTF">2014-09-15T08:53:00Z</dcterms:modified>
</cp:coreProperties>
</file>